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1.xml" ContentType="application/vnd.openxmlformats-officedocument.wordprocessingml.footer+xml"/>
  <Override PartName="/word/theme/theme111.xml" ContentType="application/vnd.openxmlformats-officedocument.theme+xml"/>
  <Override PartName="/word/webSettings.xml" ContentType="application/vnd.openxmlformats-officedocument.wordprocessingml.webSettings+xml"/>
  <Override PartName="/word/header21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22.xml" ContentType="application/vnd.openxmlformats-officedocument.wordprocessingml.header+xml"/>
  <Override PartName="/word/footer322.xml" ContentType="application/vnd.openxmlformats-officedocument.wordprocessingml.footer+xml"/>
  <Override PartName="/word/endnotes.xml" ContentType="application/vnd.openxmlformats-officedocument.wordprocessingml.endnotes+xml"/>
  <Override PartName="/word/header333.xml" ContentType="application/vnd.openxmlformats-officedocument.wordprocessingml.header+xml"/>
  <Override PartName="/word/footnotes.xml" ContentType="application/vnd.openxmlformats-officedocument.wordprocessingml.footnotes+xml"/>
  <Override PartName="/word/footer2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C501A2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Mesures d'investigation - </w:t>
      </w:r>
      <w:r w:rsidRPr="00C501A2" w:rsidR="007F454F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étude de</w:t>
      </w:r>
      <w:r w:rsidRPr="00C501A2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 cas   </w:t>
      </w:r>
    </w:p>
    <w:p w:rsidR="00C501A2" w:rsidRDefault="00C501A2" w14:paraId="602035A1" w14:textId="77777777"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eastAsia="Segoe UI Emoji" w:cs="Times New Roman"/>
          <w:b/>
          <w:bCs/>
          <w:color w:val="4472C4" w:themeColor="accent1"/>
          <w:sz w:val="28"/>
          <w:szCs w:val="28"/>
        </w:rPr>
      </w:pPr>
      <w:r w:rsidRPr="00C501A2">
        <w:rPr>
          <w:rFonts w:ascii="Times New Roman" w:hAnsi="Times New Roman" w:eastAsia="Segoe UI Emoji" w:cs="Times New Roman"/>
          <w:b/>
          <w:bCs/>
          <w:color w:val="4472C4" w:themeColor="accent1"/>
          <w:sz w:val="28"/>
          <w:szCs w:val="28"/>
        </w:rPr>
        <w:t xml:space="preserve">Étude de cas :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L'entreprise A, en tant que représentant du consortium Alfa, participe </w:t>
      </w:r>
      <w:r w:rsidR="00DF6912">
        <w:rPr>
          <w:rFonts w:ascii="Times New Roman" w:hAnsi="Times New Roman" w:eastAsia="Segoe UI Emoji" w:cs="Times New Roman"/>
          <w:sz w:val="24"/>
          <w:szCs w:val="24"/>
        </w:rPr>
        <w:t xml:space="preserve">à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une procédure d'appel d'offres lancée par la Commission dans le cadre du </w:t>
      </w:r>
      <w:r w:rsidR="00DF6912">
        <w:rPr>
          <w:rFonts w:ascii="Times New Roman" w:hAnsi="Times New Roman" w:eastAsia="Segoe UI Emoji" w:cs="Times New Roman"/>
          <w:sz w:val="24"/>
          <w:szCs w:val="24"/>
        </w:rPr>
        <w:t xml:space="preserve">programme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Horizon 2020.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L'appel d'offres porte sur le financement d'une étude visant à développer de nouveaux matériaux étanches à usage industriel (dépenses directes).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L'entreprise A a réuni un certain nombre d'autres entreprises et d'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universités pour constituer le consortium ; l'offre qu'elle a présentée prévoit la réalisation d'études et de tests pratiques innovants et de grande qualité.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L'entreprise A est basée en Belgique, les autres entreprises et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universités dans d'autres États membres de l'UE.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 consortium </w:t>
      </w:r>
      <w:r w:rsidR="00DF6912">
        <w:rPr>
          <w:rFonts w:ascii="Times New Roman" w:hAnsi="Times New Roman" w:eastAsia="Segoe UI Emoji" w:cs="Times New Roman"/>
          <w:sz w:val="24"/>
          <w:szCs w:val="24"/>
        </w:rPr>
        <w:t xml:space="preserve">remporte l'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appel d'offres. Le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financement s'élève à 750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000 euros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Selon les dispositions financières, le consortium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reçoit </w:t>
      </w:r>
      <w:r w:rsidRPr="00C501A2" w:rsidR="00DF6912">
        <w:rPr>
          <w:rFonts w:ascii="Times New Roman" w:hAnsi="Times New Roman" w:eastAsia="Segoe UI Emoji" w:cs="Times New Roman"/>
          <w:sz w:val="24"/>
          <w:szCs w:val="24"/>
        </w:rPr>
        <w:t xml:space="preserve">immédiatement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50% du montant (375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000 euros).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 premier rapport sur l'état des lieux doit être remis dans les 6 mois. </w:t>
      </w:r>
      <w:r w:rsidR="00DF6912">
        <w:rPr>
          <w:rFonts w:ascii="Times New Roman" w:hAnsi="Times New Roman" w:eastAsia="Segoe UI Emoji" w:cs="Times New Roman"/>
          <w:sz w:val="24"/>
          <w:szCs w:val="24"/>
        </w:rPr>
        <w:t xml:space="preserve">À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cette date, le consortium soumet un premier rapport intermédiaire, qui contient une étude préliminaire sur le nouveau matériau.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Avant l'expiration du délai du 2ème rapport, la société A, au nom du consortium, demande un léger report à </w:t>
      </w:r>
      <w:r w:rsidR="00DF6912">
        <w:rPr>
          <w:rFonts w:ascii="Times New Roman" w:hAnsi="Times New Roman" w:eastAsia="Segoe UI Emoji" w:cs="Times New Roman"/>
          <w:sz w:val="24"/>
          <w:szCs w:val="24"/>
        </w:rPr>
        <w:t xml:space="preserve">la </w:t>
      </w:r>
      <w:r w:rsidRPr="00C501A2" w:rsidR="00DF6912">
        <w:rPr>
          <w:rFonts w:ascii="Times New Roman" w:hAnsi="Times New Roman" w:eastAsia="Segoe UI Emoji" w:cs="Times New Roman"/>
          <w:sz w:val="24"/>
          <w:szCs w:val="24"/>
        </w:rPr>
        <w:t xml:space="preserve">Commission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. La Commission accorde 4 mois supplémentaires, et à l'expiration du nouveau délai, un nouveau rapport, avec une nouvelle étude, est soumis. Aucun test pratique n'a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encore commencé.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Entre-temps, le consortium exige le paiement d'une nouvelle tranche de 25 % du montant restant.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Lors d'un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contrôle </w:t>
      </w:r>
      <w:r w:rsidR="00DF6912">
        <w:rPr>
          <w:rFonts w:ascii="Times New Roman" w:hAnsi="Times New Roman" w:eastAsia="Segoe UI Emoji" w:cs="Times New Roman"/>
          <w:sz w:val="24"/>
          <w:szCs w:val="24"/>
        </w:rPr>
        <w:t xml:space="preserve">de routine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 effectué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par la Commission avant de procéder au paiement, celle-ci constate fortuitement que plusieurs phrases de la première et de la deuxième étude sont le résultat d'une opération de "copier-coller" d'une ancienne étude portant sur le même matériel.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L'un des fonctionnaires de l'unité financière chargée des paiements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revérifie </w:t>
      </w:r>
      <w:r w:rsidRPr="00C501A2" w:rsidR="00DF6912">
        <w:rPr>
          <w:rFonts w:ascii="Times New Roman" w:hAnsi="Times New Roman" w:eastAsia="Segoe UI Emoji" w:cs="Times New Roman"/>
          <w:sz w:val="24"/>
          <w:szCs w:val="24"/>
        </w:rPr>
        <w:t xml:space="preserve">soigneusement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dossier et se rend compte que la photo du représentant légal de la société A est très similaire à celle du représentant légal d'une autre société dans un projet précédent.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Une vérification du dossier de ce projet précédent montre qu'à l'époque la même personne a participé </w:t>
      </w:r>
      <w:r w:rsidR="00DF6912">
        <w:rPr>
          <w:rFonts w:ascii="Times New Roman" w:hAnsi="Times New Roman" w:eastAsia="Segoe UI Emoji" w:cs="Times New Roman"/>
          <w:sz w:val="24"/>
          <w:szCs w:val="24"/>
        </w:rPr>
        <w:t xml:space="preserve">à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l'appel d'offres sous un autre nom au nom d'une autre société. Par conséquent, le représentant de la société A a fourni à la Commission de fausses informations pour participer </w:t>
      </w:r>
      <w:r w:rsidR="00DF6912">
        <w:rPr>
          <w:rFonts w:ascii="Times New Roman" w:hAnsi="Times New Roman" w:eastAsia="Segoe UI Emoji" w:cs="Times New Roman"/>
          <w:sz w:val="24"/>
          <w:szCs w:val="24"/>
        </w:rPr>
        <w:t xml:space="preserve">au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présent appel d'offres.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Les paiements dans le cadre de cet appel d'offres ont été suspendus en raison de soupçons de fraude et l'OLAF a été informé de la situation.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Un contact rapide entre la Commission et l'OLAF pour le projet actuel montre qu'il s'agit bien de la même personne, qui a agi sous différentes généralités, et que le premier cas a été signalé comme un cas de fraude avec une recommandation de l'OLAF de récupérer l'argent.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 ce stade, la Commission interrompt les paiements et en informe l'OEPP.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L'affaire est confiée à l'EDP en Belgique.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bookmarkStart w:name="_Hlk49767182" w:id="0"/>
      <w:r w:rsidRPr="00C501A2">
        <w:rPr>
          <w:rFonts w:ascii="Times New Roman" w:hAnsi="Times New Roman" w:eastAsia="Segoe UI Emoji" w:cs="Times New Roman"/>
          <w:sz w:val="24"/>
          <w:szCs w:val="24"/>
        </w:rPr>
        <w:lastRenderedPageBreak/>
        <w:t xml:space="preserve">Il aimerait le faire :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interroger les représentants des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universités impliquées dans le projet, car ils ne semblent pas être au courant de la manœuvre frauduleuse,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intercepter les conversations téléphoniques du représentant de la société A, car elles sont jugées utiles pour révéler le schéma complet de la fraude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obtenir les </w:t>
      </w:r>
      <w:r w:rsidR="00DF6912">
        <w:rPr>
          <w:rFonts w:ascii="Times New Roman" w:hAnsi="Times New Roman" w:eastAsia="Segoe UI Emoji" w:cs="Times New Roman"/>
          <w:sz w:val="24"/>
          <w:szCs w:val="24"/>
        </w:rPr>
        <w:t xml:space="preserve">documents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 bancaires </w:t>
      </w:r>
      <w:r w:rsidR="00DF6912">
        <w:rPr>
          <w:rFonts w:ascii="Times New Roman" w:hAnsi="Times New Roman" w:eastAsia="Segoe UI Emoji" w:cs="Times New Roman"/>
          <w:sz w:val="24"/>
          <w:szCs w:val="24"/>
        </w:rPr>
        <w:t xml:space="preserve">de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 la société A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vérifier l'ordinateur de l'entreprise A, car il est probable qu'il </w:t>
      </w:r>
      <w:r w:rsidRPr="00C501A2" w:rsidR="00DF6912">
        <w:rPr>
          <w:rFonts w:ascii="Times New Roman" w:hAnsi="Times New Roman" w:eastAsia="Segoe UI Emoji" w:cs="Times New Roman"/>
          <w:sz w:val="24"/>
          <w:szCs w:val="24"/>
        </w:rPr>
        <w:t xml:space="preserve">contienne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des preuves de l'infraction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fouiller les locaux de la société A.</w:t>
      </w:r>
    </w:p>
    <w:bookmarkEnd w:id="0"/>
    <w:p w:rsidRPr="00C501A2" w:rsidR="00CA3240" w:rsidP="00E74C76" w:rsidRDefault="00CA3240" w14:paraId="463E20C3" w14:textId="77777777"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Nous supposons que la législation de l'État dans lequel l'EDP mène l'enquête ne prévoit pas la </w:t>
      </w:r>
      <w:r w:rsidR="00DF6912">
        <w:rPr>
          <w:rFonts w:ascii="Times New Roman" w:hAnsi="Times New Roman" w:eastAsia="Segoe UI Emoji" w:cs="Times New Roman"/>
          <w:sz w:val="24"/>
          <w:szCs w:val="24"/>
        </w:rPr>
        <w:t xml:space="preserve">fouille d'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 ordinateur, mais la possibilité de copier son contenu fait partie des activités consécutives à une fouille des locaux.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Nous partons du principe que la fraude est punie dans l'État membre d'enquête d'une peine d'au moins 4 ans d'emprisonnement, en vertu de la directive PIF, et nous savons que cette même directive PIF qualifie </w:t>
      </w:r>
      <w:r w:rsidRPr="00C501A2" w:rsidR="00DF6912">
        <w:rPr>
          <w:rFonts w:ascii="Times New Roman" w:hAnsi="Times New Roman" w:eastAsia="Segoe UI Emoji" w:cs="Times New Roman"/>
          <w:sz w:val="24"/>
          <w:szCs w:val="24"/>
        </w:rPr>
        <w:t xml:space="preserve">de "considérable"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 dommage qui porte sur au moins 100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000 euros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 w:rsidRPr="00C501A2" w:rsidR="00CA3240" w:rsidRDefault="00CA3240" w14:paraId="0A98D470" w14:textId="77777777"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Analyse :</w:t>
      </w:r>
    </w:p>
    <w:p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  <w:bookmarkStart w:name="_Hlk49767077" w:id="1"/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l'EDP doit vérifier s'il existe des soupçons raisonnables de l'infraction : dans ce cas, les éléments suggèrent qu'il existe certainement des soupçons raisonnables de fraude.</w:t>
      </w:r>
    </w:p>
    <w:p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si le système national ne prévoit pas </w:t>
      </w:r>
      <w:r w:rsidR="00DF6912">
        <w:rPr>
          <w:rFonts w:ascii="Times New Roman" w:hAnsi="Times New Roman" w:eastAsia="Segoe UI Emoji" w:cs="Times New Roman"/>
          <w:sz w:val="24"/>
          <w:szCs w:val="24"/>
        </w:rPr>
        <w:t xml:space="preserve">la </w:t>
      </w:r>
      <w:r w:rsidR="00DF6912">
        <w:rPr>
          <w:rFonts w:ascii="Times New Roman" w:hAnsi="Times New Roman" w:eastAsia="Segoe UI Emoji" w:cs="Times New Roman"/>
          <w:sz w:val="24"/>
          <w:szCs w:val="24"/>
        </w:rPr>
        <w:t xml:space="preserve">recherche sur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ordinateur, mais le PDE peut utiliser les dispositions du règlement </w:t>
      </w:r>
      <w:r w:rsidR="00DF6912">
        <w:rPr>
          <w:rFonts w:ascii="Times New Roman" w:hAnsi="Times New Roman" w:eastAsia="Segoe UI Emoji" w:cs="Times New Roman"/>
          <w:sz w:val="24"/>
          <w:szCs w:val="24"/>
        </w:rPr>
        <w:t xml:space="preserve">à cet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égard</w:t>
      </w:r>
    </w:p>
    <w:p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les entretiens ne sont pas mentionnés dans le règlement, mais ils sont possibles en vertu du droit de l'État où l'EDP mène l'enquête.</w:t>
      </w:r>
    </w:p>
    <w:p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les interceptions sont possibles en vertu du droit national ; le droit national prévoit également la possibilité d'utiliser le "cheval de Troie".</w:t>
      </w:r>
    </w:p>
    <w:bookmarkEnd w:id="1"/>
    <w:p w:rsidRPr="00C501A2" w:rsidR="00CA3240" w:rsidRDefault="00CA3240" w14:paraId="7BB2FC50" w14:textId="77777777">
      <w:pPr>
        <w:pStyle w:val="Standard"/>
        <w:jc w:val="both"/>
        <w:rPr>
          <w:rFonts w:ascii="Times New Roman" w:hAnsi="Times New Roman" w:eastAsia="Segoe UI Emoji" w:cs="Times New Roman"/>
        </w:rPr>
      </w:pPr>
    </w:p>
    <w:p w:rsidRPr="00C501A2" w:rsidR="00CA3240" w:rsidRDefault="00CA3240" w14:paraId="1C867DCE" w14:textId="77777777">
      <w:pPr>
        <w:pStyle w:val="Standard"/>
        <w:jc w:val="both"/>
        <w:rPr>
          <w:rFonts w:ascii="Times New Roman" w:hAnsi="Times New Roman" w:eastAsia="Segoe UI Emoji" w:cs="Times New Roman"/>
        </w:rPr>
      </w:pPr>
    </w:p>
    <w:p w:rsidRPr="00C501A2" w:rsidR="00CA3240" w:rsidRDefault="00CA3240" w14:paraId="6E94FB4F" w14:textId="77777777">
      <w:pPr>
        <w:pStyle w:val="Standard"/>
        <w:jc w:val="both"/>
        <w:rPr>
          <w:rFonts w:ascii="Times New Roman" w:hAnsi="Times New Roman" w:eastAsia="Segoe UI Emoji" w:cs="Times New Roman"/>
        </w:rPr>
      </w:pPr>
    </w:p>
    <w:p w:rsidRPr="00C501A2" w:rsidR="00CA3240" w:rsidRDefault="00CA3240" w14:paraId="6479FDBC" w14:textId="77777777">
      <w:pPr>
        <w:pStyle w:val="Standard"/>
        <w:jc w:val="both"/>
        <w:rPr>
          <w:rFonts w:ascii="Times New Roman" w:hAnsi="Times New Roman" w:eastAsia="Segoe UI Emoji" w:cs="Times New Roman"/>
        </w:rPr>
      </w:pPr>
    </w:p>
    <w:sectPr w:rsidRPr="00C501A2" w:rsidR="00CA3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4C1" w:rsidRDefault="00A834C1" w14:paraId="6E34C5AC" w14:textId="77777777">
      <w:pPr>
        <w:spacing w:after="0" w:line="240" w:lineRule="auto"/>
      </w:pPr>
      <w:r>
        <w:separator/>
      </w:r>
    </w:p>
  </w:endnote>
  <w:endnote w:type="continuationSeparator" w:id="0">
    <w:p w:rsidR="00A834C1" w:rsidRDefault="00A834C1" w14:paraId="2D19FF6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B24" w:rsidRDefault="00AA4B24" w14:paraId="0BB5C0F5" w14:textId="77777777">
    <w:pPr>
      <w:pStyle w:val="Footer"/>
    </w:pPr>
  </w:p>
</w:ftr>
</file>

<file path=word/footer2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840969"/>
      <w:docPartObj>
        <w:docPartGallery w:val="Page Numbers (Bottom of Page)"/>
        <w:docPartUnique/>
      </w:docPartObj>
    </w:sdtPr>
    <w:sdtEndPr/>
    <w:sdtContent>
      <w:p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 xml:space="preserve">2</w:t>
        </w:r>
        <w:r>
          <w:fldChar w:fldCharType="end"/>
        </w:r>
      </w:p>
    </w:sdtContent>
  </w:sdt>
  <w:p w:rsidR="00AA4B24" w:rsidRDefault="00AA4B24" w14:paraId="733F76F9" w14:textId="77777777">
    <w:pPr>
      <w:pStyle w:val="Footer"/>
    </w:pPr>
  </w:p>
</w:ftr>
</file>

<file path=word/footer3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B24" w:rsidRDefault="00AA4B24" w14:paraId="5115068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4C1" w:rsidRDefault="00A834C1" w14:paraId="10A10887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34C1" w:rsidRDefault="00A834C1" w14:paraId="457FDE6F" w14:textId="77777777">
      <w:pPr>
        <w:spacing w:after="0" w:line="240" w:lineRule="auto"/>
      </w:pPr>
      <w:r>
        <w:continuationSeparator/>
      </w:r>
    </w:p>
  </w:footnote>
</w:footnotes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B24" w:rsidRDefault="00AA4B24" w14:paraId="2F9AB43C" w14:textId="77777777">
    <w:pPr>
      <w:pStyle w:val="Header"/>
    </w:pP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B24" w:rsidRDefault="00AA4B24" w14:paraId="0FFB54B0" w14:textId="77777777">
    <w:pPr>
      <w:pStyle w:val="Header"/>
    </w:pPr>
  </w:p>
</w:hdr>
</file>

<file path=word/header3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B24" w:rsidRDefault="00AA4B24" w14:paraId="5292B9E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40"/>
    <w:rsid w:val="001D60CA"/>
    <w:rsid w:val="007B31F8"/>
    <w:rsid w:val="007F454F"/>
    <w:rsid w:val="00A834C1"/>
    <w:rsid w:val="00AA4B24"/>
    <w:rsid w:val="00C501A2"/>
    <w:rsid w:val="00CA3240"/>
    <w:rsid w:val="00CB5461"/>
    <w:rsid w:val="00DF6912"/>
    <w:rsid w:val="00E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855E"/>
  <w15:docId w15:val="{E8FC3B3F-831E-4A68-9436-D089DF3E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C501A2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C501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4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24"/>
  </w:style>
  <w:style w:type="paragraph" w:styleId="Footer">
    <w:name w:val="footer"/>
    <w:basedOn w:val="Normal"/>
    <w:link w:val="FooterChar"/>
    <w:uiPriority w:val="99"/>
    <w:unhideWhenUsed/>
    <w:rsid w:val="00AA4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1.xml" Id="rId8" /><Relationship Type="http://schemas.openxmlformats.org/officeDocument/2006/relationships/theme" Target="/word/theme/theme111.xml" Id="rId13" /><Relationship Type="http://schemas.openxmlformats.org/officeDocument/2006/relationships/webSettings" Target="/word/webSettings.xml" Id="rId3" /><Relationship Type="http://schemas.openxmlformats.org/officeDocument/2006/relationships/header" Target="/word/header211.xml" Id="rId7" /><Relationship Type="http://schemas.openxmlformats.org/officeDocument/2006/relationships/fontTable" Target="/word/fontTable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122.xml" Id="rId6" /><Relationship Type="http://schemas.openxmlformats.org/officeDocument/2006/relationships/footer" Target="/word/footer322.xml" Id="rId11" /><Relationship Type="http://schemas.openxmlformats.org/officeDocument/2006/relationships/endnotes" Target="/word/endnotes.xml" Id="rId5" /><Relationship Type="http://schemas.openxmlformats.org/officeDocument/2006/relationships/header" Target="/word/header333.xml" Id="rId10" /><Relationship Type="http://schemas.openxmlformats.org/officeDocument/2006/relationships/footnotes" Target="/word/footnotes.xml" Id="rId4" /><Relationship Type="http://schemas.openxmlformats.org/officeDocument/2006/relationships/footer" Target="/word/footer233.xml" Id="rId9" /></Relationships>
</file>

<file path=word/theme/theme11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584</ap:Words>
  <ap:Characters>3681</ap:Characters>
  <ap:Application>Microsoft Office Word</ap:Application>
  <ap:DocSecurity>0</ap:DocSecurity>
  <ap:Lines>30</ap:Lines>
  <ap:Paragraphs>8</ap:Paragraphs>
  <ap:ScaleCrop>false</ap:ScaleCrop>
  <ap:HeadingPairs>
    <vt:vector baseType="variant" size="2">
      <vt:variant>
        <vt:lpstr>Cím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4257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393488893038</dc:creator>
  <lastModifiedBy>Greenwood Elizabeth</lastModifiedBy>
  <revision>6</revision>
  <dcterms:created xsi:type="dcterms:W3CDTF">2021-02-28T10:38:00.0000000Z</dcterms:created>
  <dcterms:modified xsi:type="dcterms:W3CDTF">2021-05-27T05:10:00.0000000Z</dcterms:modified>
  <keywords>, docId:28B8BDB2DB92653DE53A4863C459AAAE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